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28" w:rsidRDefault="001B0628" w:rsidP="001B0628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Proposal Development Timeline</w:t>
      </w:r>
    </w:p>
    <w:p w:rsidR="001B0628" w:rsidRDefault="001B0628" w:rsidP="001B0628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225"/>
      </w:tblGrid>
      <w:tr w:rsidR="001B0628" w:rsidTr="00765252">
        <w:tc>
          <w:tcPr>
            <w:tcW w:w="5395" w:type="dxa"/>
          </w:tcPr>
          <w:p w:rsidR="001B0628" w:rsidRDefault="001B0628" w:rsidP="001B062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5225" w:type="dxa"/>
          </w:tcPr>
          <w:p w:rsidR="001B0628" w:rsidRDefault="001B0628" w:rsidP="001B0628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</w:t>
            </w:r>
          </w:p>
        </w:tc>
      </w:tr>
      <w:tr w:rsidR="001B0628" w:rsidTr="00765252">
        <w:tc>
          <w:tcPr>
            <w:tcW w:w="5395" w:type="dxa"/>
            <w:vAlign w:val="center"/>
          </w:tcPr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B0628" w:rsidRDefault="001B0628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Funding opportunity is identified</w:t>
            </w:r>
          </w:p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1B0628" w:rsidRPr="001B0628" w:rsidRDefault="001B0628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Contact Pre Award ASAP</w:t>
            </w:r>
          </w:p>
        </w:tc>
      </w:tr>
      <w:tr w:rsidR="001B0628" w:rsidTr="00765252">
        <w:tc>
          <w:tcPr>
            <w:tcW w:w="5395" w:type="dxa"/>
            <w:vAlign w:val="center"/>
          </w:tcPr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81A30" w:rsidRDefault="00B81A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Open</w:t>
            </w:r>
            <w:r w:rsidR="001B0628">
              <w:rPr>
                <w:szCs w:val="24"/>
              </w:rPr>
              <w:t xml:space="preserve"> proposal in Kuali</w:t>
            </w:r>
          </w:p>
          <w:p w:rsidR="001B0628" w:rsidRDefault="00B81A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(if you have submitted to the agency previously copy your proposal</w:t>
            </w:r>
            <w:r w:rsidR="00765252">
              <w:rPr>
                <w:szCs w:val="24"/>
              </w:rPr>
              <w:t>- certification will need to be completed again but all other information will copy over</w:t>
            </w:r>
            <w:r>
              <w:rPr>
                <w:szCs w:val="24"/>
              </w:rPr>
              <w:t>)</w:t>
            </w:r>
          </w:p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1B0628" w:rsidRPr="001B0628" w:rsidRDefault="001B0628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Minimum of three weeks prior to </w:t>
            </w:r>
            <w:r w:rsidR="00B81A30">
              <w:rPr>
                <w:szCs w:val="24"/>
              </w:rPr>
              <w:t xml:space="preserve">agency </w:t>
            </w:r>
            <w:r>
              <w:rPr>
                <w:szCs w:val="24"/>
              </w:rPr>
              <w:t>due date</w:t>
            </w:r>
          </w:p>
        </w:tc>
      </w:tr>
      <w:tr w:rsidR="001B0628" w:rsidTr="00765252">
        <w:tc>
          <w:tcPr>
            <w:tcW w:w="5395" w:type="dxa"/>
            <w:vAlign w:val="center"/>
          </w:tcPr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1B0628" w:rsidRDefault="00B81A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Contact </w:t>
            </w:r>
            <w:proofErr w:type="spellStart"/>
            <w:r>
              <w:rPr>
                <w:szCs w:val="24"/>
              </w:rPr>
              <w:t>PreAward</w:t>
            </w:r>
            <w:proofErr w:type="spellEnd"/>
            <w:r>
              <w:rPr>
                <w:szCs w:val="24"/>
              </w:rPr>
              <w:t xml:space="preserve"> for assistance in budget development to ensure correct rates are used</w:t>
            </w:r>
          </w:p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1B0628" w:rsidRPr="001B0628" w:rsidRDefault="00B81A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Minimum of three weeks prior to agency due date</w:t>
            </w:r>
          </w:p>
        </w:tc>
      </w:tr>
      <w:tr w:rsidR="00B81A30" w:rsidTr="00765252">
        <w:tc>
          <w:tcPr>
            <w:tcW w:w="5395" w:type="dxa"/>
            <w:vAlign w:val="center"/>
          </w:tcPr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81A30" w:rsidRDefault="00B81A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Variance in Indirect Cost Rates (ICR) not reflected in opportunity posting</w:t>
            </w:r>
          </w:p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B81A30" w:rsidRPr="001B0628" w:rsidRDefault="00495DFD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Notify </w:t>
            </w:r>
            <w:proofErr w:type="spellStart"/>
            <w:r>
              <w:rPr>
                <w:szCs w:val="24"/>
              </w:rPr>
              <w:t>PreAward</w:t>
            </w:r>
            <w:proofErr w:type="spellEnd"/>
            <w:r>
              <w:rPr>
                <w:szCs w:val="24"/>
              </w:rPr>
              <w:t xml:space="preserve"> as soon as possible so the sponsor can be contacted by the </w:t>
            </w:r>
            <w:proofErr w:type="spellStart"/>
            <w:r>
              <w:rPr>
                <w:szCs w:val="24"/>
              </w:rPr>
              <w:t>PreAward</w:t>
            </w:r>
            <w:proofErr w:type="spellEnd"/>
            <w:r>
              <w:rPr>
                <w:szCs w:val="24"/>
              </w:rPr>
              <w:t xml:space="preserve"> Specialist</w:t>
            </w:r>
            <w:r w:rsidR="00B81A30">
              <w:rPr>
                <w:szCs w:val="24"/>
              </w:rPr>
              <w:t>*</w:t>
            </w:r>
          </w:p>
        </w:tc>
      </w:tr>
      <w:tr w:rsidR="00E25E30" w:rsidTr="00765252">
        <w:tc>
          <w:tcPr>
            <w:tcW w:w="5395" w:type="dxa"/>
            <w:vAlign w:val="center"/>
          </w:tcPr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F1DB9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Agency contacts you more than once about needed information particularly related to budget </w:t>
            </w:r>
          </w:p>
          <w:p w:rsidR="00E25E30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(usually related to ICR or fringe rates but not always)</w:t>
            </w:r>
          </w:p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E25E30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Let Pre Award know ASAP and someone from ORP will take over negotiations with the agency</w:t>
            </w:r>
          </w:p>
        </w:tc>
      </w:tr>
      <w:tr w:rsidR="00B81A30" w:rsidTr="00765252">
        <w:tc>
          <w:tcPr>
            <w:tcW w:w="5395" w:type="dxa"/>
            <w:vAlign w:val="center"/>
          </w:tcPr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81A30" w:rsidRDefault="00B81A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Upload all required documents (</w:t>
            </w:r>
            <w:r w:rsidR="00E25E30">
              <w:rPr>
                <w:szCs w:val="24"/>
              </w:rPr>
              <w:t xml:space="preserve">i.e. </w:t>
            </w:r>
            <w:r>
              <w:rPr>
                <w:szCs w:val="24"/>
              </w:rPr>
              <w:t xml:space="preserve">project summary, budget justification, </w:t>
            </w:r>
            <w:r w:rsidR="00E25E30">
              <w:rPr>
                <w:szCs w:val="24"/>
              </w:rPr>
              <w:t xml:space="preserve">agency guidelines, any documentation related to ICR </w:t>
            </w:r>
            <w:r>
              <w:rPr>
                <w:szCs w:val="24"/>
              </w:rPr>
              <w:t>in Kuali</w:t>
            </w:r>
            <w:r w:rsidR="00E25E30">
              <w:rPr>
                <w:szCs w:val="24"/>
              </w:rPr>
              <w:t>)</w:t>
            </w:r>
          </w:p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B81A30" w:rsidRPr="001B0628" w:rsidRDefault="00B81A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Minimum of 11 working days prior to agency submission date</w:t>
            </w:r>
          </w:p>
        </w:tc>
      </w:tr>
      <w:tr w:rsidR="00A37F54" w:rsidTr="00765252">
        <w:tc>
          <w:tcPr>
            <w:tcW w:w="5395" w:type="dxa"/>
            <w:vAlign w:val="center"/>
          </w:tcPr>
          <w:p w:rsidR="00A37F54" w:rsidRPr="00A37F54" w:rsidRDefault="00A37F54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37F54" w:rsidRDefault="00A37F54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Use the validation tool in the center of the screen to identify errors (turn on to fix any errors)</w:t>
            </w:r>
          </w:p>
          <w:p w:rsidR="00A37F54" w:rsidRPr="00A37F54" w:rsidRDefault="00A37F54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A37F54" w:rsidRDefault="00A37F54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Minimum of 11 working days prior to agency submission date</w:t>
            </w:r>
          </w:p>
        </w:tc>
      </w:tr>
      <w:tr w:rsidR="00B81A30" w:rsidTr="00765252">
        <w:tc>
          <w:tcPr>
            <w:tcW w:w="5395" w:type="dxa"/>
            <w:vAlign w:val="center"/>
          </w:tcPr>
          <w:p w:rsidR="00765252" w:rsidRDefault="00765252" w:rsidP="00E25E30">
            <w:pPr>
              <w:pStyle w:val="NoSpacing"/>
              <w:jc w:val="center"/>
              <w:rPr>
                <w:szCs w:val="24"/>
              </w:rPr>
            </w:pPr>
          </w:p>
          <w:p w:rsidR="00B81A30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Contact assigned Pre Award Research Associate to conduct a final review of the proposal before you route it for review</w:t>
            </w:r>
          </w:p>
          <w:p w:rsidR="00765252" w:rsidRDefault="00765252" w:rsidP="00E25E30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B81A30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Minimum of 11 working days prior to agency submission date</w:t>
            </w:r>
          </w:p>
        </w:tc>
      </w:tr>
      <w:tr w:rsidR="00E25E30" w:rsidTr="00765252">
        <w:tc>
          <w:tcPr>
            <w:tcW w:w="5395" w:type="dxa"/>
            <w:vAlign w:val="center"/>
          </w:tcPr>
          <w:p w:rsidR="00E25E30" w:rsidRPr="001B0628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Route for Review in Kuali</w:t>
            </w:r>
          </w:p>
        </w:tc>
        <w:tc>
          <w:tcPr>
            <w:tcW w:w="5225" w:type="dxa"/>
            <w:vAlign w:val="center"/>
          </w:tcPr>
          <w:p w:rsidR="00765252" w:rsidRDefault="00765252" w:rsidP="00E25E30">
            <w:pPr>
              <w:pStyle w:val="NoSpacing"/>
              <w:jc w:val="center"/>
              <w:rPr>
                <w:szCs w:val="24"/>
              </w:rPr>
            </w:pPr>
          </w:p>
          <w:p w:rsidR="00E25E30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Minimum 10 </w:t>
            </w:r>
            <w:r w:rsidRPr="00B81A30">
              <w:rPr>
                <w:szCs w:val="24"/>
                <w:u w:val="single"/>
              </w:rPr>
              <w:t>working</w:t>
            </w:r>
            <w:r>
              <w:rPr>
                <w:szCs w:val="24"/>
              </w:rPr>
              <w:t xml:space="preserve"> days prior to agency submission date</w:t>
            </w:r>
          </w:p>
          <w:p w:rsidR="00A37F54" w:rsidRPr="00A37F54" w:rsidRDefault="00A37F54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25E30" w:rsidTr="00765252">
        <w:tc>
          <w:tcPr>
            <w:tcW w:w="5395" w:type="dxa"/>
            <w:vAlign w:val="center"/>
          </w:tcPr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E25E30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Put tickler in calendar to remind yourself of ongoing proposals/contract due dates</w:t>
            </w:r>
          </w:p>
          <w:p w:rsidR="00765252" w:rsidRPr="00A37F54" w:rsidRDefault="00765252" w:rsidP="00E25E3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225" w:type="dxa"/>
            <w:vAlign w:val="center"/>
          </w:tcPr>
          <w:p w:rsidR="00E25E30" w:rsidRDefault="00E25E30" w:rsidP="00E25E30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ASAP after routing in Kuali</w:t>
            </w:r>
          </w:p>
        </w:tc>
      </w:tr>
    </w:tbl>
    <w:p w:rsidR="001B0628" w:rsidRPr="00A37F54" w:rsidRDefault="001B0628" w:rsidP="001B0628">
      <w:pPr>
        <w:pStyle w:val="NoSpacing"/>
        <w:rPr>
          <w:b/>
          <w:szCs w:val="24"/>
        </w:rPr>
      </w:pPr>
      <w:r w:rsidRPr="00A37F54">
        <w:rPr>
          <w:b/>
          <w:szCs w:val="24"/>
        </w:rPr>
        <w:t xml:space="preserve">*If the agency states that the ICR is less than the federally negotiated rate </w:t>
      </w:r>
      <w:r w:rsidRPr="00A37F54">
        <w:rPr>
          <w:b/>
          <w:szCs w:val="24"/>
          <w:u w:val="single"/>
        </w:rPr>
        <w:t>AND i</w:t>
      </w:r>
      <w:r w:rsidRPr="00A37F54">
        <w:rPr>
          <w:b/>
          <w:szCs w:val="24"/>
        </w:rPr>
        <w:t xml:space="preserve">t is not indicated in the opportunity posting then the agency must </w:t>
      </w:r>
      <w:r w:rsidR="00495DFD" w:rsidRPr="00A37F54">
        <w:rPr>
          <w:b/>
          <w:szCs w:val="24"/>
        </w:rPr>
        <w:t>notify</w:t>
      </w:r>
      <w:r w:rsidRPr="00A37F54">
        <w:rPr>
          <w:b/>
          <w:szCs w:val="24"/>
        </w:rPr>
        <w:t xml:space="preserve"> Pre</w:t>
      </w:r>
      <w:r w:rsidR="00BF1DB9" w:rsidRPr="00A37F54">
        <w:rPr>
          <w:b/>
          <w:szCs w:val="24"/>
        </w:rPr>
        <w:t>-</w:t>
      </w:r>
      <w:r w:rsidRPr="00A37F54">
        <w:rPr>
          <w:b/>
          <w:szCs w:val="24"/>
        </w:rPr>
        <w:t xml:space="preserve">Award </w:t>
      </w:r>
      <w:r w:rsidR="00495DFD" w:rsidRPr="00A37F54">
        <w:rPr>
          <w:b/>
          <w:szCs w:val="24"/>
        </w:rPr>
        <w:t>in writing</w:t>
      </w:r>
      <w:r w:rsidRPr="00A37F54">
        <w:rPr>
          <w:b/>
          <w:szCs w:val="24"/>
        </w:rPr>
        <w:t xml:space="preserve"> indicating the following: “The agency </w:t>
      </w:r>
      <w:r w:rsidR="00495DFD" w:rsidRPr="00A37F54">
        <w:rPr>
          <w:b/>
          <w:szCs w:val="24"/>
        </w:rPr>
        <w:t>restricts indirect costs to XX%</w:t>
      </w:r>
      <w:r w:rsidRPr="00A37F54">
        <w:rPr>
          <w:b/>
          <w:szCs w:val="24"/>
        </w:rPr>
        <w:t xml:space="preserve">.  Any recipient of awards from this opportunity </w:t>
      </w:r>
      <w:r w:rsidR="00495DFD" w:rsidRPr="00A37F54">
        <w:rPr>
          <w:b/>
          <w:szCs w:val="24"/>
        </w:rPr>
        <w:t>is</w:t>
      </w:r>
      <w:r w:rsidRPr="00A37F54">
        <w:rPr>
          <w:b/>
          <w:szCs w:val="24"/>
        </w:rPr>
        <w:t xml:space="preserve"> restricted to this same rate.”  If we do not receive this official notification from the agency </w:t>
      </w:r>
      <w:r w:rsidR="00B81A30" w:rsidRPr="00A37F54">
        <w:rPr>
          <w:b/>
          <w:szCs w:val="24"/>
        </w:rPr>
        <w:t xml:space="preserve">or the reduced ICR is not indicated in the opportunity posting </w:t>
      </w:r>
      <w:r w:rsidRPr="00A37F54">
        <w:rPr>
          <w:b/>
          <w:szCs w:val="24"/>
        </w:rPr>
        <w:t>then the federally negotiated rate will be applied.</w:t>
      </w:r>
      <w:r w:rsidR="00495DFD" w:rsidRPr="00A37F54">
        <w:rPr>
          <w:b/>
          <w:szCs w:val="24"/>
        </w:rPr>
        <w:t xml:space="preserve"> This does not apply to industry sponsored projects.</w:t>
      </w:r>
    </w:p>
    <w:sectPr w:rsidR="001B0628" w:rsidRPr="00A37F54" w:rsidSect="00E25E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28"/>
    <w:rsid w:val="001B0628"/>
    <w:rsid w:val="003F77F3"/>
    <w:rsid w:val="00495DFD"/>
    <w:rsid w:val="00695BA0"/>
    <w:rsid w:val="00765252"/>
    <w:rsid w:val="008E7AC5"/>
    <w:rsid w:val="00A37F54"/>
    <w:rsid w:val="00B81A30"/>
    <w:rsid w:val="00BF19F8"/>
    <w:rsid w:val="00BF1DB9"/>
    <w:rsid w:val="00E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3F4F-4C68-4429-9BF4-9D2CBEBF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628"/>
    <w:pPr>
      <w:spacing w:after="0" w:line="240" w:lineRule="auto"/>
    </w:pPr>
  </w:style>
  <w:style w:type="table" w:styleId="TableGrid">
    <w:name w:val="Table Grid"/>
    <w:basedOn w:val="TableNormal"/>
    <w:uiPriority w:val="39"/>
    <w:rsid w:val="001B0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Diane</dc:creator>
  <cp:keywords/>
  <dc:description/>
  <cp:lastModifiedBy>s001450</cp:lastModifiedBy>
  <cp:revision>2</cp:revision>
  <cp:lastPrinted>2018-12-20T19:14:00Z</cp:lastPrinted>
  <dcterms:created xsi:type="dcterms:W3CDTF">2019-01-02T14:35:00Z</dcterms:created>
  <dcterms:modified xsi:type="dcterms:W3CDTF">2019-01-02T14:35:00Z</dcterms:modified>
</cp:coreProperties>
</file>